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5E" w:rsidRPr="001D5C21" w:rsidRDefault="003E7CDB" w:rsidP="001D5C21">
      <w:pPr>
        <w:pStyle w:val="Sinespaciado"/>
        <w:jc w:val="center"/>
        <w:rPr>
          <w:b/>
        </w:rPr>
      </w:pPr>
      <w:r w:rsidRPr="001D5C21">
        <w:rPr>
          <w:b/>
        </w:rPr>
        <w:t>PAQUETE ECONÓMICO</w:t>
      </w:r>
    </w:p>
    <w:p w:rsidR="003E7CDB" w:rsidRPr="001D5C21" w:rsidRDefault="003E7CDB" w:rsidP="001D5C21">
      <w:pPr>
        <w:pStyle w:val="Sinespaciado"/>
        <w:jc w:val="center"/>
        <w:rPr>
          <w:b/>
        </w:rPr>
      </w:pPr>
      <w:r w:rsidRPr="001D5C21">
        <w:rPr>
          <w:b/>
        </w:rPr>
        <w:t>EN LA NEGOCIACIÓN DEL CONTRATO COLECTIVO</w:t>
      </w:r>
    </w:p>
    <w:p w:rsidR="003E7CDB" w:rsidRPr="001D5C21" w:rsidRDefault="003E7CDB" w:rsidP="001D5C21">
      <w:pPr>
        <w:pStyle w:val="Sinespaciado"/>
        <w:jc w:val="center"/>
        <w:rPr>
          <w:b/>
        </w:rPr>
      </w:pPr>
      <w:r w:rsidRPr="001D5C21">
        <w:rPr>
          <w:b/>
        </w:rPr>
        <w:t>DE TRABAJO PARA EL PERSONAL ACADÉMICO DE LA UNAM</w:t>
      </w:r>
    </w:p>
    <w:p w:rsidR="003E7CDB" w:rsidRPr="001D5C21" w:rsidRDefault="003E7CDB" w:rsidP="001D5C21">
      <w:pPr>
        <w:pStyle w:val="Sinespaciado"/>
        <w:jc w:val="center"/>
        <w:rPr>
          <w:b/>
        </w:rPr>
      </w:pPr>
      <w:r w:rsidRPr="001D5C21">
        <w:rPr>
          <w:b/>
        </w:rPr>
        <w:t>BIENIO 2023-2025</w:t>
      </w:r>
    </w:p>
    <w:p w:rsidR="003E7CDB" w:rsidRDefault="003E7CDB" w:rsidP="003E7CDB">
      <w:pPr>
        <w:pStyle w:val="Sinespaciado"/>
      </w:pPr>
    </w:p>
    <w:p w:rsidR="007D3EC4" w:rsidRPr="007D3EC4" w:rsidRDefault="003E7CDB" w:rsidP="007D3EC4">
      <w:pPr>
        <w:pStyle w:val="Sinespaciado"/>
        <w:numPr>
          <w:ilvl w:val="0"/>
          <w:numId w:val="1"/>
        </w:numPr>
        <w:ind w:left="-567"/>
        <w:jc w:val="both"/>
        <w:rPr>
          <w:b/>
          <w:sz w:val="22"/>
        </w:rPr>
      </w:pPr>
      <w:r w:rsidRPr="007D3EC4">
        <w:rPr>
          <w:b/>
          <w:sz w:val="22"/>
        </w:rPr>
        <w:t>CLÁUSULA 38 AUMENTO DIRECTO AL TABULADOR DE 4.0%</w:t>
      </w:r>
      <w:r w:rsidR="007D3EC4" w:rsidRPr="007D3EC4">
        <w:rPr>
          <w:b/>
          <w:sz w:val="22"/>
        </w:rPr>
        <w:t>.</w:t>
      </w:r>
    </w:p>
    <w:p w:rsidR="003E7CDB" w:rsidRPr="007D3EC4" w:rsidRDefault="003E7CDB" w:rsidP="007D3EC4">
      <w:pPr>
        <w:pStyle w:val="Sinespaciado"/>
        <w:numPr>
          <w:ilvl w:val="0"/>
          <w:numId w:val="1"/>
        </w:numPr>
        <w:ind w:left="-567"/>
        <w:jc w:val="both"/>
        <w:rPr>
          <w:b/>
          <w:sz w:val="22"/>
        </w:rPr>
      </w:pPr>
      <w:r w:rsidRPr="007D3EC4">
        <w:rPr>
          <w:b/>
          <w:sz w:val="22"/>
        </w:rPr>
        <w:t>AUMENTO A LAS PRESTACIONES DEL 2.0%</w:t>
      </w:r>
    </w:p>
    <w:p w:rsidR="007D3EC4" w:rsidRDefault="003E7CDB" w:rsidP="007D3EC4">
      <w:pPr>
        <w:pStyle w:val="Sinespaciado"/>
        <w:numPr>
          <w:ilvl w:val="0"/>
          <w:numId w:val="1"/>
        </w:numPr>
        <w:ind w:left="-567"/>
        <w:jc w:val="both"/>
        <w:rPr>
          <w:sz w:val="22"/>
        </w:rPr>
      </w:pPr>
      <w:r w:rsidRPr="008E1026">
        <w:rPr>
          <w:sz w:val="22"/>
        </w:rPr>
        <w:t>PERMANECE EL PROGRAMA DE ESTÍMULOS A LA PRODUCTIVIDAD Y AL RENDIMIENTO DEL PERSONAL ACADÉMICO DE ASIGNATURA</w:t>
      </w:r>
      <w:r w:rsidR="007D3EC4">
        <w:rPr>
          <w:sz w:val="22"/>
        </w:rPr>
        <w:t xml:space="preserve"> </w:t>
      </w:r>
      <w:r w:rsidR="007D3EC4" w:rsidRPr="007D3EC4">
        <w:rPr>
          <w:b/>
          <w:sz w:val="22"/>
        </w:rPr>
        <w:t>(</w:t>
      </w:r>
      <w:r w:rsidRPr="007D3EC4">
        <w:rPr>
          <w:b/>
          <w:sz w:val="22"/>
        </w:rPr>
        <w:t>PEPASIG</w:t>
      </w:r>
      <w:r w:rsidR="007D3EC4" w:rsidRPr="007D3EC4">
        <w:rPr>
          <w:b/>
          <w:sz w:val="22"/>
        </w:rPr>
        <w:t>)</w:t>
      </w:r>
      <w:r w:rsidRPr="007D3EC4">
        <w:rPr>
          <w:b/>
          <w:sz w:val="22"/>
        </w:rPr>
        <w:t xml:space="preserve"> 8.0%</w:t>
      </w:r>
    </w:p>
    <w:p w:rsidR="007D3EC4" w:rsidRDefault="003E7CDB" w:rsidP="007D3EC4">
      <w:pPr>
        <w:pStyle w:val="Sinespaciado"/>
        <w:numPr>
          <w:ilvl w:val="0"/>
          <w:numId w:val="1"/>
        </w:numPr>
        <w:ind w:left="-567"/>
        <w:jc w:val="both"/>
        <w:rPr>
          <w:sz w:val="22"/>
        </w:rPr>
      </w:pPr>
      <w:r w:rsidRPr="007D3EC4">
        <w:rPr>
          <w:sz w:val="22"/>
        </w:rPr>
        <w:t xml:space="preserve">PERMANECE EL PROGRAMA DE RECONOCIMIENTO AL PERSONAL ACADÉMICO DE ASIGNATURA. AUMENTA </w:t>
      </w:r>
      <w:r w:rsidRPr="007D3EC4">
        <w:rPr>
          <w:b/>
          <w:sz w:val="22"/>
        </w:rPr>
        <w:t>4.0%</w:t>
      </w:r>
    </w:p>
    <w:p w:rsidR="007D3EC4" w:rsidRPr="007D3EC4" w:rsidRDefault="007D3EC4" w:rsidP="007D3EC4">
      <w:pPr>
        <w:pStyle w:val="Sinespaciado"/>
        <w:numPr>
          <w:ilvl w:val="0"/>
          <w:numId w:val="1"/>
        </w:numPr>
        <w:ind w:left="-567"/>
        <w:jc w:val="both"/>
        <w:rPr>
          <w:sz w:val="22"/>
        </w:rPr>
      </w:pPr>
      <w:r w:rsidRPr="007D3EC4">
        <w:rPr>
          <w:sz w:val="22"/>
        </w:rPr>
        <w:t xml:space="preserve">PERMANECE EL PROGRAMA DE </w:t>
      </w:r>
      <w:r w:rsidRPr="007D3EC4">
        <w:rPr>
          <w:sz w:val="22"/>
        </w:rPr>
        <w:t xml:space="preserve">APOYO A LA SUPERACION </w:t>
      </w:r>
      <w:r>
        <w:rPr>
          <w:sz w:val="22"/>
        </w:rPr>
        <w:t xml:space="preserve">DEL PERSONAL </w:t>
      </w:r>
      <w:r w:rsidRPr="007D3EC4">
        <w:rPr>
          <w:sz w:val="22"/>
        </w:rPr>
        <w:t xml:space="preserve">ACADÉMICO </w:t>
      </w:r>
      <w:r w:rsidRPr="007D3EC4">
        <w:rPr>
          <w:sz w:val="22"/>
        </w:rPr>
        <w:t xml:space="preserve">AUMENTA </w:t>
      </w:r>
      <w:r w:rsidRPr="007D3EC4">
        <w:rPr>
          <w:b/>
          <w:sz w:val="22"/>
        </w:rPr>
        <w:t>4.0%</w:t>
      </w:r>
    </w:p>
    <w:tbl>
      <w:tblPr>
        <w:tblStyle w:val="Tablaconcuadrcula"/>
        <w:tblW w:w="9870" w:type="dxa"/>
        <w:tblInd w:w="-542" w:type="dxa"/>
        <w:tblLook w:val="04A0" w:firstRow="1" w:lastRow="0" w:firstColumn="1" w:lastColumn="0" w:noHBand="0" w:noVBand="1"/>
      </w:tblPr>
      <w:tblGrid>
        <w:gridCol w:w="637"/>
        <w:gridCol w:w="989"/>
        <w:gridCol w:w="5032"/>
        <w:gridCol w:w="2111"/>
        <w:gridCol w:w="1101"/>
      </w:tblGrid>
      <w:tr w:rsidR="00B839AF" w:rsidTr="00540C40">
        <w:tc>
          <w:tcPr>
            <w:tcW w:w="637" w:type="dxa"/>
          </w:tcPr>
          <w:p w:rsidR="00B839AF" w:rsidRPr="003E7CDB" w:rsidRDefault="00B839AF" w:rsidP="003E7CDB">
            <w:pPr>
              <w:pStyle w:val="Sinespaciado"/>
              <w:jc w:val="center"/>
              <w:rPr>
                <w:b/>
              </w:rPr>
            </w:pPr>
            <w:r w:rsidRPr="003E7CDB">
              <w:rPr>
                <w:b/>
              </w:rPr>
              <w:t>No.</w:t>
            </w:r>
          </w:p>
        </w:tc>
        <w:tc>
          <w:tcPr>
            <w:tcW w:w="989" w:type="dxa"/>
          </w:tcPr>
          <w:p w:rsidR="00B839AF" w:rsidRPr="003E7CDB" w:rsidRDefault="00B839AF" w:rsidP="003E7CDB">
            <w:pPr>
              <w:pStyle w:val="Sinespaciado"/>
              <w:jc w:val="center"/>
              <w:rPr>
                <w:b/>
              </w:rPr>
            </w:pPr>
            <w:r w:rsidRPr="003E7CDB">
              <w:rPr>
                <w:b/>
              </w:rPr>
              <w:t>CLS</w:t>
            </w:r>
          </w:p>
        </w:tc>
        <w:tc>
          <w:tcPr>
            <w:tcW w:w="5032" w:type="dxa"/>
          </w:tcPr>
          <w:p w:rsidR="00B839AF" w:rsidRPr="003E7CDB" w:rsidRDefault="00B839AF" w:rsidP="003E7CDB">
            <w:pPr>
              <w:pStyle w:val="Sinespaciado"/>
              <w:jc w:val="center"/>
              <w:rPr>
                <w:b/>
              </w:rPr>
            </w:pPr>
            <w:r w:rsidRPr="003E7CDB">
              <w:rPr>
                <w:b/>
              </w:rPr>
              <w:t>CONCEPTO</w:t>
            </w:r>
          </w:p>
        </w:tc>
        <w:tc>
          <w:tcPr>
            <w:tcW w:w="2111" w:type="dxa"/>
          </w:tcPr>
          <w:p w:rsidR="00B839AF" w:rsidRPr="003E7CDB" w:rsidRDefault="00B839AF" w:rsidP="003E7CD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MONTO </w:t>
            </w:r>
          </w:p>
        </w:tc>
        <w:tc>
          <w:tcPr>
            <w:tcW w:w="1101" w:type="dxa"/>
          </w:tcPr>
          <w:p w:rsidR="00B839AF" w:rsidRDefault="007D3EC4" w:rsidP="003E7CDB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839AF" w:rsidTr="009650DD">
        <w:trPr>
          <w:trHeight w:val="693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39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3E7CDB">
            <w:pPr>
              <w:pStyle w:val="Sinespaciado"/>
              <w:rPr>
                <w:spacing w:val="-8"/>
                <w:w w:val="120"/>
              </w:rPr>
            </w:pPr>
            <w:r w:rsidRPr="00540C40">
              <w:rPr>
                <w:spacing w:val="-8"/>
                <w:w w:val="120"/>
              </w:rPr>
              <w:t>Complemento a Profesores de Asignatura por 10 Horas</w:t>
            </w:r>
            <w:r w:rsidRPr="00540C40">
              <w:rPr>
                <w:spacing w:val="-8"/>
                <w:w w:val="121"/>
              </w:rPr>
              <w:t xml:space="preserve"> </w:t>
            </w:r>
            <w:r w:rsidRPr="00540C40">
              <w:rPr>
                <w:spacing w:val="-8"/>
                <w:w w:val="120"/>
              </w:rPr>
              <w:t>semana/mes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8E1026">
            <w:pPr>
              <w:pStyle w:val="Sinespaciado"/>
              <w:rPr>
                <w:rFonts w:eastAsia="Arial"/>
              </w:rPr>
            </w:pP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30"/>
              </w:rPr>
            </w:pPr>
            <w:r>
              <w:rPr>
                <w:w w:val="130"/>
              </w:rPr>
              <w:t>7.5%</w:t>
            </w:r>
          </w:p>
        </w:tc>
      </w:tr>
      <w:tr w:rsidR="00B839AF" w:rsidTr="009650DD">
        <w:trPr>
          <w:trHeight w:val="708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2.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49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spacing w:val="-8"/>
                <w:w w:val="120"/>
              </w:rPr>
            </w:pPr>
            <w:r w:rsidRPr="00540C40">
              <w:rPr>
                <w:spacing w:val="-8"/>
                <w:w w:val="125"/>
              </w:rPr>
              <w:t>Pago</w:t>
            </w:r>
            <w:r w:rsidRPr="00540C40">
              <w:rPr>
                <w:spacing w:val="-8"/>
                <w:w w:val="125"/>
                <w:position w:val="1"/>
              </w:rPr>
              <w:t xml:space="preserve"> por Participación en</w:t>
            </w:r>
            <w:r w:rsidRPr="00540C40">
              <w:rPr>
                <w:spacing w:val="-8"/>
                <w:w w:val="121"/>
                <w:position w:val="1"/>
              </w:rPr>
              <w:t xml:space="preserve"> </w:t>
            </w:r>
            <w:r w:rsidRPr="00540C40">
              <w:rPr>
                <w:spacing w:val="-8"/>
                <w:w w:val="120"/>
              </w:rPr>
              <w:t>Exámenes Extraordinarios</w:t>
            </w:r>
          </w:p>
        </w:tc>
        <w:tc>
          <w:tcPr>
            <w:tcW w:w="2111" w:type="dxa"/>
            <w:vAlign w:val="center"/>
          </w:tcPr>
          <w:p w:rsidR="00B839AF" w:rsidRPr="00B839AF" w:rsidRDefault="00B839AF" w:rsidP="00B839AF">
            <w:pPr>
              <w:pStyle w:val="Sinespaciado"/>
              <w:jc w:val="center"/>
            </w:pPr>
            <w:r w:rsidRPr="00B85A20">
              <w:rPr>
                <w:w w:val="125"/>
              </w:rPr>
              <w:t>$1</w:t>
            </w:r>
            <w:r>
              <w:rPr>
                <w:w w:val="125"/>
              </w:rPr>
              <w:t>6</w:t>
            </w:r>
            <w:r w:rsidRPr="00B85A20">
              <w:rPr>
                <w:w w:val="125"/>
              </w:rPr>
              <w:t>.00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6.7%</w:t>
            </w:r>
          </w:p>
        </w:tc>
      </w:tr>
      <w:tr w:rsidR="00B839AF" w:rsidTr="009650DD">
        <w:trPr>
          <w:trHeight w:val="973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3.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50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0"/>
              </w:rPr>
              <w:t>Pago</w:t>
            </w:r>
            <w:r w:rsidRPr="00540C40">
              <w:rPr>
                <w:spacing w:val="-8"/>
                <w:w w:val="120"/>
              </w:rPr>
              <w:t xml:space="preserve"> </w:t>
            </w:r>
            <w:r w:rsidRPr="00540C40">
              <w:rPr>
                <w:spacing w:val="-8"/>
                <w:w w:val="120"/>
                <w:position w:val="1"/>
              </w:rPr>
              <w:t>por Participación en</w:t>
            </w:r>
            <w:r w:rsidRPr="00540C40">
              <w:rPr>
                <w:spacing w:val="-8"/>
                <w:w w:val="124"/>
                <w:position w:val="1"/>
              </w:rPr>
              <w:t xml:space="preserve"> </w:t>
            </w:r>
            <w:r w:rsidRPr="00540C40">
              <w:rPr>
                <w:spacing w:val="-8"/>
                <w:w w:val="120"/>
              </w:rPr>
              <w:t>Exámenes de Grado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0"/>
              </w:rPr>
              <w:t>L $   527.00</w:t>
            </w:r>
          </w:p>
          <w:p w:rsidR="00B839AF" w:rsidRPr="00B85A20" w:rsidRDefault="00B839AF" w:rsidP="007D3EC4">
            <w:pPr>
              <w:pStyle w:val="Sinespaciado"/>
              <w:jc w:val="center"/>
              <w:rPr>
                <w:rFonts w:eastAsia="Arial"/>
              </w:rPr>
            </w:pPr>
            <w:r>
              <w:rPr>
                <w:w w:val="125"/>
              </w:rPr>
              <w:t>M</w:t>
            </w:r>
            <w:r w:rsidRPr="00B85A20">
              <w:rPr>
                <w:w w:val="125"/>
              </w:rPr>
              <w:t>$1,325.00</w:t>
            </w:r>
          </w:p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0"/>
              </w:rPr>
              <w:t>D $2,181.00</w:t>
            </w:r>
          </w:p>
        </w:tc>
        <w:tc>
          <w:tcPr>
            <w:tcW w:w="1101" w:type="dxa"/>
            <w:vAlign w:val="center"/>
          </w:tcPr>
          <w:p w:rsidR="00B839AF" w:rsidRDefault="00B839AF" w:rsidP="00B839AF">
            <w:pPr>
              <w:pStyle w:val="Sinespaciado"/>
              <w:jc w:val="center"/>
              <w:rPr>
                <w:w w:val="120"/>
              </w:rPr>
            </w:pPr>
            <w:r>
              <w:rPr>
                <w:w w:val="120"/>
              </w:rPr>
              <w:t>6.5%</w:t>
            </w:r>
          </w:p>
          <w:p w:rsidR="00B839AF" w:rsidRDefault="00B839AF" w:rsidP="00B839AF">
            <w:pPr>
              <w:pStyle w:val="Sinespaciado"/>
              <w:jc w:val="center"/>
              <w:rPr>
                <w:w w:val="120"/>
              </w:rPr>
            </w:pPr>
            <w:r>
              <w:rPr>
                <w:w w:val="120"/>
              </w:rPr>
              <w:t>6.5%</w:t>
            </w:r>
          </w:p>
          <w:p w:rsidR="007D3EC4" w:rsidRPr="00B85A20" w:rsidRDefault="007D3EC4" w:rsidP="00B839AF">
            <w:pPr>
              <w:pStyle w:val="Sinespaciado"/>
              <w:jc w:val="center"/>
              <w:rPr>
                <w:w w:val="120"/>
              </w:rPr>
            </w:pPr>
            <w:r>
              <w:rPr>
                <w:w w:val="120"/>
              </w:rPr>
              <w:t>6.5%</w:t>
            </w:r>
          </w:p>
        </w:tc>
      </w:tr>
      <w:tr w:rsidR="00B839AF" w:rsidTr="009650DD">
        <w:trPr>
          <w:trHeight w:val="573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4.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52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540C40">
            <w:pPr>
              <w:pStyle w:val="Sinespaciado"/>
              <w:rPr>
                <w:spacing w:val="-8"/>
                <w:w w:val="120"/>
              </w:rPr>
            </w:pPr>
            <w:r w:rsidRPr="00540C40">
              <w:rPr>
                <w:spacing w:val="-8"/>
                <w:w w:val="120"/>
              </w:rPr>
              <w:t>Despensa</w:t>
            </w:r>
          </w:p>
        </w:tc>
        <w:tc>
          <w:tcPr>
            <w:tcW w:w="2111" w:type="dxa"/>
            <w:vAlign w:val="center"/>
          </w:tcPr>
          <w:p w:rsidR="00B839AF" w:rsidRPr="008E1026" w:rsidRDefault="00B839AF" w:rsidP="00B839AF">
            <w:pPr>
              <w:pStyle w:val="Sinespaciado"/>
              <w:jc w:val="center"/>
              <w:rPr>
                <w:w w:val="125"/>
              </w:rPr>
            </w:pPr>
            <w:r w:rsidRPr="00B85A20">
              <w:rPr>
                <w:w w:val="125"/>
              </w:rPr>
              <w:t>$</w:t>
            </w:r>
            <w:r>
              <w:rPr>
                <w:w w:val="125"/>
              </w:rPr>
              <w:t>1,674.00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16.0%</w:t>
            </w:r>
          </w:p>
        </w:tc>
      </w:tr>
      <w:tr w:rsidR="00B839AF" w:rsidTr="009650DD">
        <w:trPr>
          <w:trHeight w:val="551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5.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85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5"/>
              </w:rPr>
              <w:t>Beneficio de la Canastilla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>
              <w:rPr>
                <w:w w:val="115"/>
              </w:rPr>
              <w:t>$2,761.00</w:t>
            </w:r>
          </w:p>
        </w:tc>
        <w:tc>
          <w:tcPr>
            <w:tcW w:w="1101" w:type="dxa"/>
            <w:vAlign w:val="center"/>
          </w:tcPr>
          <w:p w:rsidR="00B839AF" w:rsidRDefault="00B839AF" w:rsidP="00B839AF">
            <w:pPr>
              <w:pStyle w:val="Sinespaciado"/>
              <w:jc w:val="center"/>
              <w:rPr>
                <w:w w:val="115"/>
              </w:rPr>
            </w:pPr>
            <w:r>
              <w:rPr>
                <w:w w:val="115"/>
              </w:rPr>
              <w:t>5.0%</w:t>
            </w:r>
          </w:p>
        </w:tc>
      </w:tr>
      <w:tr w:rsidR="00B839AF" w:rsidTr="009650DD">
        <w:trPr>
          <w:trHeight w:val="559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6.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87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0"/>
              </w:rPr>
              <w:t>Ayuda para Guardería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5"/>
              </w:rPr>
              <w:t>$1,469.00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5.0%</w:t>
            </w:r>
          </w:p>
        </w:tc>
      </w:tr>
      <w:tr w:rsidR="00B839AF" w:rsidTr="009650DD">
        <w:trPr>
          <w:trHeight w:val="975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7.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93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5"/>
              </w:rPr>
              <w:t xml:space="preserve">Becas </w:t>
            </w:r>
            <w:r w:rsidRPr="00540C40">
              <w:rPr>
                <w:spacing w:val="-8"/>
                <w:w w:val="125"/>
                <w:position w:val="1"/>
              </w:rPr>
              <w:t>para el Trabajador</w:t>
            </w:r>
            <w:r w:rsidRPr="00540C40">
              <w:rPr>
                <w:spacing w:val="-8"/>
                <w:w w:val="121"/>
                <w:position w:val="1"/>
              </w:rPr>
              <w:t xml:space="preserve"> </w:t>
            </w:r>
            <w:r w:rsidRPr="00540C40">
              <w:rPr>
                <w:spacing w:val="-8"/>
                <w:w w:val="125"/>
              </w:rPr>
              <w:t>Académico, Cónyuge e Hijos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5"/>
              </w:rPr>
              <w:t>$1,560.00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20.0%</w:t>
            </w:r>
          </w:p>
        </w:tc>
      </w:tr>
      <w:tr w:rsidR="00B839AF" w:rsidTr="009650DD">
        <w:trPr>
          <w:trHeight w:val="693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8.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99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5"/>
              </w:rPr>
              <w:t>Ayuda para la impresión de Tesis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0"/>
              </w:rPr>
              <w:t>$3,760.00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0"/>
              </w:rPr>
            </w:pPr>
            <w:r>
              <w:rPr>
                <w:w w:val="120"/>
              </w:rPr>
              <w:t>5.0%</w:t>
            </w:r>
          </w:p>
        </w:tc>
        <w:bookmarkStart w:id="0" w:name="_GoBack"/>
        <w:bookmarkEnd w:id="0"/>
      </w:tr>
      <w:tr w:rsidR="00B839AF" w:rsidTr="009650DD">
        <w:trPr>
          <w:trHeight w:val="1012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9.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100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5"/>
              </w:rPr>
              <w:t>Ayuda para la Adquisición</w:t>
            </w:r>
            <w:r w:rsidRPr="00540C40">
              <w:rPr>
                <w:rFonts w:eastAsia="Arial"/>
                <w:spacing w:val="-8"/>
              </w:rPr>
              <w:t xml:space="preserve"> </w:t>
            </w:r>
            <w:r w:rsidRPr="00540C40">
              <w:rPr>
                <w:spacing w:val="-8"/>
                <w:w w:val="125"/>
              </w:rPr>
              <w:t>de Libros</w:t>
            </w:r>
          </w:p>
        </w:tc>
        <w:tc>
          <w:tcPr>
            <w:tcW w:w="2111" w:type="dxa"/>
            <w:vAlign w:val="center"/>
          </w:tcPr>
          <w:p w:rsidR="00257935" w:rsidRDefault="007D3EC4" w:rsidP="00B839AF">
            <w:pPr>
              <w:pStyle w:val="Sinespaciado"/>
              <w:jc w:val="center"/>
              <w:rPr>
                <w:spacing w:val="-20"/>
                <w:w w:val="120"/>
              </w:rPr>
            </w:pPr>
            <w:r w:rsidRPr="007D3EC4">
              <w:rPr>
                <w:spacing w:val="-20"/>
                <w:w w:val="120"/>
              </w:rPr>
              <w:t xml:space="preserve">-20 </w:t>
            </w:r>
            <w:proofErr w:type="spellStart"/>
            <w:r w:rsidRPr="007D3EC4">
              <w:rPr>
                <w:spacing w:val="-20"/>
                <w:w w:val="120"/>
              </w:rPr>
              <w:t>hrs</w:t>
            </w:r>
            <w:proofErr w:type="spellEnd"/>
            <w:r w:rsidRPr="007D3EC4">
              <w:rPr>
                <w:spacing w:val="-20"/>
                <w:w w:val="120"/>
              </w:rPr>
              <w:t xml:space="preserve"> $607.00</w:t>
            </w:r>
          </w:p>
          <w:p w:rsidR="00257935" w:rsidRDefault="00257935" w:rsidP="00B839AF">
            <w:pPr>
              <w:pStyle w:val="Sinespaciado"/>
              <w:jc w:val="center"/>
              <w:rPr>
                <w:spacing w:val="-20"/>
                <w:w w:val="120"/>
              </w:rPr>
            </w:pPr>
          </w:p>
          <w:p w:rsidR="00257935" w:rsidRPr="00257935" w:rsidRDefault="00B839AF" w:rsidP="00257935">
            <w:pPr>
              <w:pStyle w:val="Sinespaciado"/>
              <w:jc w:val="center"/>
              <w:rPr>
                <w:rFonts w:eastAsia="Arial"/>
                <w:spacing w:val="-24"/>
              </w:rPr>
            </w:pPr>
            <w:r w:rsidRPr="00257935">
              <w:rPr>
                <w:spacing w:val="-24"/>
                <w:w w:val="125"/>
              </w:rPr>
              <w:t xml:space="preserve">20 </w:t>
            </w:r>
            <w:proofErr w:type="spellStart"/>
            <w:r w:rsidRPr="00257935">
              <w:rPr>
                <w:spacing w:val="-24"/>
                <w:w w:val="125"/>
              </w:rPr>
              <w:t>hrs</w:t>
            </w:r>
            <w:proofErr w:type="spellEnd"/>
            <w:r w:rsidRPr="00257935">
              <w:rPr>
                <w:spacing w:val="-24"/>
                <w:w w:val="125"/>
              </w:rPr>
              <w:t xml:space="preserve"> $</w:t>
            </w:r>
            <w:r w:rsidRPr="00257935">
              <w:rPr>
                <w:spacing w:val="-24"/>
                <w:w w:val="125"/>
              </w:rPr>
              <w:t>1,213.00</w:t>
            </w:r>
          </w:p>
        </w:tc>
        <w:tc>
          <w:tcPr>
            <w:tcW w:w="1101" w:type="dxa"/>
            <w:vAlign w:val="center"/>
          </w:tcPr>
          <w:p w:rsidR="00B839AF" w:rsidRDefault="00B839AF" w:rsidP="007D3EC4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5.0%</w:t>
            </w:r>
          </w:p>
          <w:p w:rsidR="00B839AF" w:rsidRDefault="00B839AF" w:rsidP="00B839AF">
            <w:pPr>
              <w:pStyle w:val="Sinespaciado"/>
              <w:jc w:val="center"/>
              <w:rPr>
                <w:w w:val="125"/>
              </w:rPr>
            </w:pPr>
          </w:p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5.0%</w:t>
            </w:r>
          </w:p>
        </w:tc>
      </w:tr>
      <w:tr w:rsidR="00B839AF" w:rsidTr="009650DD">
        <w:trPr>
          <w:trHeight w:val="705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10.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101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15"/>
              </w:rPr>
              <w:t>Ayuda para material</w:t>
            </w:r>
            <w:r w:rsidRPr="00540C40">
              <w:rPr>
                <w:rFonts w:eastAsia="Arial"/>
                <w:spacing w:val="-8"/>
              </w:rPr>
              <w:t xml:space="preserve"> </w:t>
            </w:r>
            <w:r w:rsidRPr="00540C40">
              <w:rPr>
                <w:spacing w:val="-8"/>
                <w:w w:val="130"/>
              </w:rPr>
              <w:t>didáctico</w:t>
            </w:r>
          </w:p>
        </w:tc>
        <w:tc>
          <w:tcPr>
            <w:tcW w:w="211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15"/>
              </w:rPr>
              <w:t>$379.60</w:t>
            </w:r>
          </w:p>
        </w:tc>
        <w:tc>
          <w:tcPr>
            <w:tcW w:w="1101" w:type="dxa"/>
            <w:vAlign w:val="center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15"/>
              </w:rPr>
            </w:pPr>
            <w:r>
              <w:rPr>
                <w:w w:val="115"/>
              </w:rPr>
              <w:t>3.5%</w:t>
            </w:r>
          </w:p>
        </w:tc>
      </w:tr>
      <w:tr w:rsidR="00B839AF" w:rsidTr="009650DD">
        <w:trPr>
          <w:trHeight w:val="575"/>
        </w:trPr>
        <w:tc>
          <w:tcPr>
            <w:tcW w:w="637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11.</w:t>
            </w:r>
          </w:p>
        </w:tc>
        <w:tc>
          <w:tcPr>
            <w:tcW w:w="989" w:type="dxa"/>
            <w:vAlign w:val="center"/>
          </w:tcPr>
          <w:p w:rsidR="00B839AF" w:rsidRDefault="00B839AF" w:rsidP="00540C40">
            <w:pPr>
              <w:pStyle w:val="Sinespaciado"/>
              <w:jc w:val="center"/>
            </w:pPr>
            <w:r>
              <w:t>102</w:t>
            </w:r>
          </w:p>
        </w:tc>
        <w:tc>
          <w:tcPr>
            <w:tcW w:w="5032" w:type="dxa"/>
            <w:vAlign w:val="center"/>
          </w:tcPr>
          <w:p w:rsidR="00B839AF" w:rsidRPr="00540C40" w:rsidRDefault="00B839AF" w:rsidP="001D5C21">
            <w:pPr>
              <w:pStyle w:val="Sinespaciado"/>
              <w:rPr>
                <w:rFonts w:eastAsia="Arial"/>
                <w:spacing w:val="-8"/>
              </w:rPr>
            </w:pPr>
            <w:r w:rsidRPr="00540C40">
              <w:rPr>
                <w:spacing w:val="-8"/>
                <w:w w:val="120"/>
              </w:rPr>
              <w:t>Vale del Día del Maestro</w:t>
            </w:r>
          </w:p>
        </w:tc>
        <w:tc>
          <w:tcPr>
            <w:tcW w:w="2111" w:type="dxa"/>
          </w:tcPr>
          <w:p w:rsidR="00B839AF" w:rsidRPr="00B85A20" w:rsidRDefault="00B839AF" w:rsidP="00B839AF">
            <w:pPr>
              <w:pStyle w:val="Sinespaciado"/>
              <w:jc w:val="center"/>
              <w:rPr>
                <w:rFonts w:eastAsia="Arial"/>
              </w:rPr>
            </w:pPr>
            <w:r w:rsidRPr="00B85A20">
              <w:rPr>
                <w:w w:val="125"/>
              </w:rPr>
              <w:t>$1,087.</w:t>
            </w:r>
            <w:r>
              <w:rPr>
                <w:w w:val="125"/>
              </w:rPr>
              <w:t>00</w:t>
            </w:r>
          </w:p>
        </w:tc>
        <w:tc>
          <w:tcPr>
            <w:tcW w:w="1101" w:type="dxa"/>
          </w:tcPr>
          <w:p w:rsidR="00B839AF" w:rsidRPr="00B85A20" w:rsidRDefault="00B839AF" w:rsidP="00B839AF">
            <w:pPr>
              <w:pStyle w:val="Sinespaciado"/>
              <w:jc w:val="center"/>
              <w:rPr>
                <w:w w:val="125"/>
              </w:rPr>
            </w:pPr>
            <w:r>
              <w:rPr>
                <w:w w:val="125"/>
              </w:rPr>
              <w:t>4.1%</w:t>
            </w:r>
          </w:p>
        </w:tc>
      </w:tr>
      <w:tr w:rsidR="00B839AF" w:rsidTr="00CE24E3">
        <w:trPr>
          <w:trHeight w:val="635"/>
        </w:trPr>
        <w:tc>
          <w:tcPr>
            <w:tcW w:w="637" w:type="dxa"/>
          </w:tcPr>
          <w:p w:rsidR="00B839AF" w:rsidRDefault="00B839AF" w:rsidP="001D5C21">
            <w:pPr>
              <w:pStyle w:val="Sinespaciado"/>
            </w:pPr>
            <w:r>
              <w:t>12.</w:t>
            </w:r>
          </w:p>
        </w:tc>
        <w:tc>
          <w:tcPr>
            <w:tcW w:w="989" w:type="dxa"/>
          </w:tcPr>
          <w:p w:rsidR="00B839AF" w:rsidRDefault="00B839AF" w:rsidP="001D5C21">
            <w:pPr>
              <w:pStyle w:val="Sinespaciado"/>
              <w:jc w:val="center"/>
            </w:pPr>
            <w:r>
              <w:t>35-A II</w:t>
            </w:r>
          </w:p>
        </w:tc>
        <w:tc>
          <w:tcPr>
            <w:tcW w:w="5032" w:type="dxa"/>
            <w:vAlign w:val="center"/>
          </w:tcPr>
          <w:p w:rsidR="00540C40" w:rsidRPr="00540C40" w:rsidRDefault="00B839AF" w:rsidP="001D5C21">
            <w:pPr>
              <w:pStyle w:val="Sinespaciado"/>
              <w:rPr>
                <w:spacing w:val="-8"/>
                <w:w w:val="120"/>
              </w:rPr>
            </w:pPr>
            <w:r w:rsidRPr="00540C40">
              <w:rPr>
                <w:spacing w:val="-8"/>
                <w:w w:val="120"/>
              </w:rPr>
              <w:t xml:space="preserve">Tarifa de </w:t>
            </w:r>
            <w:r w:rsidRPr="00540C40">
              <w:rPr>
                <w:spacing w:val="-8"/>
                <w:w w:val="120"/>
                <w:position w:val="1"/>
              </w:rPr>
              <w:t xml:space="preserve">Viáticos para </w:t>
            </w:r>
            <w:r w:rsidRPr="00540C40">
              <w:rPr>
                <w:spacing w:val="-8"/>
                <w:w w:val="120"/>
              </w:rPr>
              <w:t>el</w:t>
            </w:r>
            <w:r w:rsidRPr="00540C40">
              <w:rPr>
                <w:spacing w:val="-8"/>
                <w:w w:val="135"/>
              </w:rPr>
              <w:t xml:space="preserve"> </w:t>
            </w:r>
            <w:r w:rsidRPr="00540C40">
              <w:rPr>
                <w:spacing w:val="-8"/>
                <w:w w:val="120"/>
              </w:rPr>
              <w:t>Personal Académico</w:t>
            </w:r>
          </w:p>
        </w:tc>
        <w:tc>
          <w:tcPr>
            <w:tcW w:w="2111" w:type="dxa"/>
          </w:tcPr>
          <w:p w:rsidR="00B839AF" w:rsidRDefault="00CE24E3" w:rsidP="00CE24E3">
            <w:pPr>
              <w:pStyle w:val="Sinespaciado"/>
              <w:jc w:val="center"/>
              <w:rPr>
                <w:w w:val="130"/>
              </w:rPr>
            </w:pPr>
            <w:r>
              <w:rPr>
                <w:w w:val="130"/>
              </w:rPr>
              <w:t>Nacional</w:t>
            </w:r>
          </w:p>
          <w:p w:rsidR="00CE24E3" w:rsidRPr="00B85A20" w:rsidRDefault="00CE24E3" w:rsidP="00CE24E3">
            <w:pPr>
              <w:pStyle w:val="Sinespaciado"/>
              <w:jc w:val="center"/>
              <w:rPr>
                <w:w w:val="125"/>
              </w:rPr>
            </w:pPr>
            <w:r>
              <w:rPr>
                <w:w w:val="130"/>
              </w:rPr>
              <w:t>Extranjero</w:t>
            </w:r>
          </w:p>
        </w:tc>
        <w:tc>
          <w:tcPr>
            <w:tcW w:w="1101" w:type="dxa"/>
          </w:tcPr>
          <w:p w:rsidR="00B839AF" w:rsidRDefault="00B839AF" w:rsidP="00B839AF">
            <w:pPr>
              <w:pStyle w:val="Sinespaciado"/>
              <w:jc w:val="center"/>
              <w:rPr>
                <w:w w:val="130"/>
              </w:rPr>
            </w:pPr>
            <w:r>
              <w:rPr>
                <w:w w:val="130"/>
              </w:rPr>
              <w:t>16.7%</w:t>
            </w:r>
          </w:p>
          <w:p w:rsidR="00B839AF" w:rsidRPr="00B85A20" w:rsidRDefault="00B839AF" w:rsidP="00B839AF">
            <w:pPr>
              <w:pStyle w:val="Sinespaciado"/>
              <w:jc w:val="center"/>
              <w:rPr>
                <w:w w:val="130"/>
              </w:rPr>
            </w:pPr>
            <w:r>
              <w:rPr>
                <w:w w:val="130"/>
              </w:rPr>
              <w:t>4.0%</w:t>
            </w:r>
          </w:p>
        </w:tc>
      </w:tr>
    </w:tbl>
    <w:p w:rsidR="003E7CDB" w:rsidRDefault="003E7CDB" w:rsidP="00540C40">
      <w:pPr>
        <w:pStyle w:val="Sinespaciado"/>
      </w:pPr>
    </w:p>
    <w:sectPr w:rsidR="003E7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CD" w:rsidRDefault="00DF29CD" w:rsidP="00540C40">
      <w:pPr>
        <w:spacing w:after="0" w:line="240" w:lineRule="auto"/>
      </w:pPr>
      <w:r>
        <w:separator/>
      </w:r>
    </w:p>
  </w:endnote>
  <w:endnote w:type="continuationSeparator" w:id="0">
    <w:p w:rsidR="00DF29CD" w:rsidRDefault="00DF29CD" w:rsidP="0054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CD" w:rsidRDefault="00DF29CD" w:rsidP="00540C40">
      <w:pPr>
        <w:spacing w:after="0" w:line="240" w:lineRule="auto"/>
      </w:pPr>
      <w:r>
        <w:separator/>
      </w:r>
    </w:p>
  </w:footnote>
  <w:footnote w:type="continuationSeparator" w:id="0">
    <w:p w:rsidR="00DF29CD" w:rsidRDefault="00DF29CD" w:rsidP="0054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142"/>
    <w:multiLevelType w:val="hybridMultilevel"/>
    <w:tmpl w:val="3856A1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B"/>
    <w:rsid w:val="00027B34"/>
    <w:rsid w:val="001D5C21"/>
    <w:rsid w:val="00257935"/>
    <w:rsid w:val="003E7CDB"/>
    <w:rsid w:val="00540C40"/>
    <w:rsid w:val="007D3EC4"/>
    <w:rsid w:val="008E1026"/>
    <w:rsid w:val="00937A5E"/>
    <w:rsid w:val="009650DD"/>
    <w:rsid w:val="00B839AF"/>
    <w:rsid w:val="00CE24E3"/>
    <w:rsid w:val="00DF29CD"/>
    <w:rsid w:val="00D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3565"/>
  <w15:chartTrackingRefBased/>
  <w15:docId w15:val="{F99AA213-AEA5-4F72-9C1F-8C1838F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7CD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E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7CDB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0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C40"/>
  </w:style>
  <w:style w:type="paragraph" w:styleId="Piedepgina">
    <w:name w:val="footer"/>
    <w:basedOn w:val="Normal"/>
    <w:link w:val="PiedepginaCar"/>
    <w:uiPriority w:val="99"/>
    <w:unhideWhenUsed/>
    <w:rsid w:val="00540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4</cp:revision>
  <cp:lastPrinted>2023-01-13T20:38:00Z</cp:lastPrinted>
  <dcterms:created xsi:type="dcterms:W3CDTF">2023-01-13T19:32:00Z</dcterms:created>
  <dcterms:modified xsi:type="dcterms:W3CDTF">2023-01-13T21:28:00Z</dcterms:modified>
</cp:coreProperties>
</file>